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3E" w:rsidRDefault="00F6233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4B6FCC"/>
    <w:rsid w:val="005E4692"/>
    <w:rsid w:val="006920CC"/>
    <w:rsid w:val="006E7841"/>
    <w:rsid w:val="008729BA"/>
    <w:rsid w:val="008B7133"/>
    <w:rsid w:val="00905E01"/>
    <w:rsid w:val="009137E3"/>
    <w:rsid w:val="009B5002"/>
    <w:rsid w:val="00A26ADC"/>
    <w:rsid w:val="00B75BE0"/>
    <w:rsid w:val="00C316AE"/>
    <w:rsid w:val="00C51B62"/>
    <w:rsid w:val="00CF07D7"/>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2017-10-23T07:08:00Z</dcterms:modified>
</cp:coreProperties>
</file>